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Kelsey Batschelet</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kelseyb@performancemarketing.com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Phone: </w:t>
      </w:r>
      <w:r w:rsidDel="00000000" w:rsidR="00000000" w:rsidRPr="00000000">
        <w:rPr>
          <w:rFonts w:ascii="Arial" w:cs="Arial" w:eastAsia="Arial" w:hAnsi="Arial"/>
          <w:sz w:val="20"/>
          <w:szCs w:val="20"/>
          <w:rtl w:val="0"/>
        </w:rPr>
        <w:t xml:space="preserve">254.291.9370</w:t>
      </w:r>
    </w:p>
    <w:p w:rsidR="00000000" w:rsidDel="00000000" w:rsidP="00000000" w:rsidRDefault="00000000" w:rsidRPr="00000000" w14:paraId="00000004">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5">
      <w:pPr>
        <w:rPr>
          <w:rFonts w:ascii="Arial" w:cs="Arial" w:eastAsia="Arial" w:hAnsi="Arial"/>
          <w:sz w:val="22"/>
          <w:szCs w:val="22"/>
        </w:rPr>
      </w:pPr>
      <w:r w:rsidDel="00000000" w:rsidR="00000000" w:rsidRPr="00000000">
        <w:rPr>
          <w:rtl w:val="0"/>
        </w:rPr>
        <w:tab/>
        <w:tab/>
      </w:r>
      <w:r w:rsidDel="00000000" w:rsidR="00000000" w:rsidRPr="00000000">
        <w:rPr>
          <w:rtl w:val="0"/>
        </w:rPr>
      </w:r>
    </w:p>
    <w:p w:rsidR="00000000" w:rsidDel="00000000" w:rsidP="00000000" w:rsidRDefault="00000000" w:rsidRPr="00000000" w14:paraId="00000006">
      <w:pPr>
        <w:ind w:left="720" w:hanging="72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Product Information: Stellar</w:t>
      </w:r>
      <w:r w:rsidDel="00000000" w:rsidR="00000000" w:rsidRPr="00000000">
        <w:rPr>
          <w:rFonts w:ascii="Arial" w:cs="Arial" w:eastAsia="Arial" w:hAnsi="Arial"/>
          <w:b w:val="1"/>
          <w:sz w:val="28"/>
          <w:szCs w:val="28"/>
          <w:vertAlign w:val="superscript"/>
          <w:rtl w:val="0"/>
        </w:rPr>
        <w:t xml:space="preserve">®</w:t>
      </w:r>
      <w:r w:rsidDel="00000000" w:rsidR="00000000" w:rsidRPr="00000000">
        <w:rPr>
          <w:rFonts w:ascii="Arial" w:cs="Arial" w:eastAsia="Arial" w:hAnsi="Arial"/>
          <w:b w:val="1"/>
          <w:sz w:val="28"/>
          <w:szCs w:val="28"/>
          <w:rtl w:val="0"/>
        </w:rPr>
        <w:t xml:space="preserve"> Bumper Pull Combine Head Trailers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When time is of the essence and productivity is paramount, users can trust </w:t>
      </w:r>
      <w:hyperlink r:id="rId8">
        <w:r w:rsidDel="00000000" w:rsidR="00000000" w:rsidRPr="00000000">
          <w:rPr>
            <w:rFonts w:ascii="Arial" w:cs="Arial" w:eastAsia="Arial" w:hAnsi="Arial"/>
            <w:b w:val="0"/>
            <w:i w:val="0"/>
            <w:smallCaps w:val="0"/>
            <w:strike w:val="0"/>
            <w:color w:val="1155cc"/>
            <w:u w:val="single"/>
            <w:shd w:fill="auto" w:val="clear"/>
            <w:vertAlign w:val="baseline"/>
            <w:rtl w:val="0"/>
          </w:rPr>
          <w:t xml:space="preserve">Stellar Bumper Pull Combine Head Trailers</w:t>
        </w:r>
      </w:hyperlink>
      <w:r w:rsidDel="00000000" w:rsidR="00000000" w:rsidRPr="00000000">
        <w:rPr>
          <w:rFonts w:ascii="Arial" w:cs="Arial" w:eastAsia="Arial" w:hAnsi="Arial"/>
          <w:b w:val="0"/>
          <w:i w:val="0"/>
          <w:smallCaps w:val="0"/>
          <w:strike w:val="0"/>
          <w:color w:val="000000"/>
          <w:u w:val="none"/>
          <w:shd w:fill="auto" w:val="clear"/>
          <w:vertAlign w:val="baseline"/>
          <w:rtl w:val="0"/>
        </w:rPr>
        <w:t xml:space="preserve"> to revolutionize their combine head transport experience. Engineered with precision and innovation, these bumper pull combine head trailers boast a range of features designed to streamline the user’s field-to-field journey, ensuring their combine head arrives swiftly and securely.</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hyperlink r:id="rId9">
        <w:r w:rsidDel="00000000" w:rsidR="00000000" w:rsidRPr="00000000">
          <w:rPr>
            <w:rFonts w:ascii="Arial" w:cs="Arial" w:eastAsia="Arial" w:hAnsi="Arial"/>
            <w:b w:val="0"/>
            <w:i w:val="0"/>
            <w:smallCaps w:val="0"/>
            <w:strike w:val="0"/>
            <w:color w:val="1155cc"/>
            <w:u w:val="single"/>
            <w:shd w:fill="auto" w:val="clear"/>
            <w:vertAlign w:val="baseline"/>
            <w:rtl w:val="0"/>
          </w:rPr>
          <w:t xml:space="preserve">Stellar’s </w:t>
        </w:r>
      </w:hyperlink>
      <w:hyperlink r:id="rId10">
        <w:r w:rsidDel="00000000" w:rsidR="00000000" w:rsidRPr="00000000">
          <w:rPr>
            <w:rFonts w:ascii="Arial" w:cs="Arial" w:eastAsia="Arial" w:hAnsi="Arial"/>
            <w:color w:val="1155cc"/>
            <w:u w:val="single"/>
            <w:rtl w:val="0"/>
          </w:rPr>
          <w:t xml:space="preserve">53</w:t>
        </w:r>
      </w:hyperlink>
      <w:hyperlink r:id="rId11">
        <w:r w:rsidDel="00000000" w:rsidR="00000000" w:rsidRPr="00000000">
          <w:rPr>
            <w:rFonts w:ascii="Arial" w:cs="Arial" w:eastAsia="Arial" w:hAnsi="Arial"/>
            <w:b w:val="0"/>
            <w:i w:val="0"/>
            <w:smallCaps w:val="0"/>
            <w:strike w:val="0"/>
            <w:color w:val="1155cc"/>
            <w:u w:val="single"/>
            <w:shd w:fill="auto" w:val="clear"/>
            <w:vertAlign w:val="baseline"/>
            <w:rtl w:val="0"/>
          </w:rPr>
          <w:t xml:space="preserve">' Bumper Pull Combine Head Trailers </w:t>
        </w:r>
      </w:hyperlink>
      <w:r w:rsidDel="00000000" w:rsidR="00000000" w:rsidRPr="00000000">
        <w:rPr>
          <w:rFonts w:ascii="Arial" w:cs="Arial" w:eastAsia="Arial" w:hAnsi="Arial"/>
          <w:b w:val="0"/>
          <w:i w:val="0"/>
          <w:smallCaps w:val="0"/>
          <w:strike w:val="0"/>
          <w:color w:val="000000"/>
          <w:u w:val="none"/>
          <w:shd w:fill="auto" w:val="clear"/>
          <w:vertAlign w:val="baseline"/>
          <w:rtl w:val="0"/>
        </w:rPr>
        <w:t xml:space="preserve">are equipped with a coil spring-and-shock front suspension, effectively minimizing vibrations and ensuring a smooth ride. This cutting-edge suspension system, coupled with torsion rear axles, guarantees secure combine head transport even at up to highway speeds.</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Robustly constructed for durability, the bumper pull combine head trailer features heavy-wall 4" x 1</w:t>
      </w:r>
      <w:r w:rsidDel="00000000" w:rsidR="00000000" w:rsidRPr="00000000">
        <w:rPr>
          <w:rFonts w:ascii="Arial" w:cs="Arial" w:eastAsia="Arial" w:hAnsi="Arial"/>
          <w:rtl w:val="0"/>
        </w:rPr>
        <w:t xml:space="preserve">4</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 side frame rails, capable of withstanding the demands of heavy-duty usage. </w:t>
      </w:r>
      <w:r w:rsidDel="00000000" w:rsidR="00000000" w:rsidRPr="00000000">
        <w:rPr>
          <w:rFonts w:ascii="Arial" w:cs="Arial" w:eastAsia="Arial" w:hAnsi="Arial"/>
          <w:rtl w:val="0"/>
        </w:rPr>
        <w:t xml:space="preserve">Equipped with two</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 7,000-lb torsion flex </w:t>
      </w:r>
      <w:r w:rsidDel="00000000" w:rsidR="00000000" w:rsidRPr="00000000">
        <w:rPr>
          <w:rFonts w:ascii="Arial" w:cs="Arial" w:eastAsia="Arial" w:hAnsi="Arial"/>
          <w:rtl w:val="0"/>
        </w:rPr>
        <w:t xml:space="preserve">rear </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axles with electric brakes and speed lube hubs ensures stability and longevity. The inclusion of two ratcheting tiedowns and straps further reinforces the combine head's stability when in transport.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For effortless loading and unloading, four wrench-free adjustable saddles provide convenient and secure placement of the combine head. Additional axle mounting tabs offer customization options to fit various head sizes.</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LED taillights with a 7-pole plug ensure optimal visibility, promoting safe transportation even during low-light conditions. For adherence to regulatory standards, a DOT compliance package is available, ensuring users’ transportation operations align with legal requirements. DOT reflective tape comes standard.</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The user-friendly design of the interchangeable tongue end with clevis allows for easy attachment to different towing vehicles. An extendable tongue with a quick latch and safety chains ensures hassle-free coupling and uncoupling.</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Sickle and front storage compartments enable users to stow tools, equipment and accessories conveniently, reducing clutter and enhancing organization.</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Users can choose between a sleek powder-coat finish in classic black or vibrant green, both designed to withstand the elements and resist corrosion.</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The trailer also features poly front fenders that not only enhance its visual appeal but also contribute to its functionality by shielding against road debris.</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With a commitment to quality, innovation and efficiency, Stellar Bumper Pull Combine Head Trailers are engineered to empower users to transport their combine head with confidence and ease.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C">
      <w:pPr>
        <w:rPr>
          <w:rFonts w:ascii="Arial" w:cs="Arial" w:eastAsia="Arial" w:hAnsi="Arial"/>
        </w:rPr>
      </w:pPr>
      <w:r w:rsidDel="00000000" w:rsidR="00000000" w:rsidRPr="00000000">
        <w:rPr>
          <w:rFonts w:ascii="Arial" w:cs="Arial" w:eastAsia="Arial" w:hAnsi="Arial"/>
          <w:rtl w:val="0"/>
        </w:rPr>
        <w:t xml:space="preserve">For more information on Stellar Bumper Pull Combine Head Trailers, visit </w:t>
      </w:r>
      <w:hyperlink r:id="rId12">
        <w:r w:rsidDel="00000000" w:rsidR="00000000" w:rsidRPr="00000000">
          <w:rPr>
            <w:rFonts w:ascii="Arial" w:cs="Arial" w:eastAsia="Arial" w:hAnsi="Arial"/>
            <w:color w:val="0563c1"/>
            <w:u w:val="single"/>
            <w:rtl w:val="0"/>
          </w:rPr>
          <w:t xml:space="preserve">www.stellarindustries.com</w:t>
        </w:r>
      </w:hyperlink>
      <w:r w:rsidDel="00000000" w:rsidR="00000000" w:rsidRPr="00000000">
        <w:rPr>
          <w:rFonts w:ascii="Arial" w:cs="Arial" w:eastAsia="Arial" w:hAnsi="Arial"/>
          <w:rtl w:val="0"/>
        </w:rPr>
        <w:t xml:space="preserve">. </w:t>
      </w:r>
    </w:p>
    <w:p w:rsidR="00000000" w:rsidDel="00000000" w:rsidP="00000000" w:rsidRDefault="00000000" w:rsidRPr="00000000" w14:paraId="0000001D">
      <w:pPr>
        <w:rPr>
          <w:rFonts w:ascii="Arial" w:cs="Arial" w:eastAsia="Arial" w:hAnsi="Arial"/>
        </w:rPr>
      </w:pPr>
      <w:r w:rsidDel="00000000" w:rsidR="00000000" w:rsidRPr="00000000">
        <w:rPr>
          <w:rtl w:val="0"/>
        </w:rPr>
      </w:r>
    </w:p>
    <w:p w:rsidR="00000000" w:rsidDel="00000000" w:rsidP="00000000" w:rsidRDefault="00000000" w:rsidRPr="00000000" w14:paraId="0000001E">
      <w:pPr>
        <w:rPr>
          <w:rFonts w:ascii="Arial" w:cs="Arial" w:eastAsia="Arial" w:hAnsi="Arial"/>
        </w:rPr>
      </w:pPr>
      <w:r w:rsidDel="00000000" w:rsidR="00000000" w:rsidRPr="00000000">
        <w:rPr>
          <w:rtl w:val="0"/>
        </w:rPr>
      </w:r>
    </w:p>
    <w:p w:rsidR="00000000" w:rsidDel="00000000" w:rsidP="00000000" w:rsidRDefault="00000000" w:rsidRPr="00000000" w14:paraId="0000001F">
      <w:pPr>
        <w:rPr>
          <w:rFonts w:ascii="Arial" w:cs="Arial" w:eastAsia="Arial" w:hAnsi="Arial"/>
          <w:b w:val="1"/>
        </w:rPr>
      </w:pPr>
      <w:r w:rsidDel="00000000" w:rsidR="00000000" w:rsidRPr="00000000">
        <w:rPr>
          <w:rFonts w:ascii="Arial" w:cs="Arial" w:eastAsia="Arial" w:hAnsi="Arial"/>
          <w:b w:val="1"/>
          <w:rtl w:val="0"/>
        </w:rPr>
        <w:t xml:space="preserve">About Stellar </w:t>
      </w:r>
    </w:p>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highlight w:val="white"/>
          <w:rtl w:val="0"/>
        </w:rPr>
        <w:t xml:space="preserve">Stellar was founded in 1990 in Garner, Iowa, and has since expanded operations to multiple U.S. locations. Stellar is an employee-owned and -operated manufacturer of high-quality work trucks and trailers, in addition to service truck and van accessories.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rPr>
          <w:rFonts w:ascii="Arial" w:cs="Arial" w:eastAsia="Arial" w:hAnsi="Arial"/>
          <w:sz w:val="22"/>
          <w:szCs w:val="22"/>
        </w:rPr>
      </w:pPr>
      <w:r w:rsidDel="00000000" w:rsidR="00000000" w:rsidRPr="00000000">
        <w:rPr>
          <w:rtl w:val="0"/>
        </w:rPr>
      </w:r>
    </w:p>
    <w:sectPr>
      <w:headerReference r:id="rId13" w:type="default"/>
      <w:headerReference r:id="rId14" w:type="first"/>
      <w:headerReference r:id="rId15" w:type="even"/>
      <w:footerReference r:id="rId16" w:type="default"/>
      <w:footerReference r:id="rId17" w:type="first"/>
      <w:footerReference r:id="rId18"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0" name="image1.png"/>
          <a:graphic>
            <a:graphicData uri="http://schemas.openxmlformats.org/drawingml/2006/picture">
              <pic:pic>
                <pic:nvPicPr>
                  <pic:cNvPr id="0" name="image1.png"/>
                  <pic:cNvPicPr preferRelativeResize="0"/>
                </pic:nvPicPr>
                <pic:blipFill>
                  <a:blip r:embed="rId1"/>
                  <a:srcRect b="-15978" l="3666" r="0" t="0"/>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2051420" cy="712956"/>
                <wp:effectExtent b="0" l="0" r="0" t="0"/>
                <wp:docPr descr="Logo&#10;&#10;Description automatically generated" id="9" name="image2.png"/>
                <a:graphic>
                  <a:graphicData uri="http://schemas.openxmlformats.org/drawingml/2006/picture">
                    <pic:pic>
                      <pic:nvPicPr>
                        <pic:cNvPr descr="Logo&#10;&#10;Description automatically generated" id="0" name="image2.png"/>
                        <pic:cNvPicPr preferRelativeResize="0"/>
                      </pic:nvPicPr>
                      <pic:blipFill>
                        <a:blip r:embed="rId1"/>
                        <a:srcRect b="0" l="0" r="0" t="0"/>
                        <a:stretch>
                          <a:fillRect/>
                        </a:stretch>
                      </pic:blipFill>
                      <pic:spPr>
                        <a:xfrm>
                          <a:off x="0" y="0"/>
                          <a:ext cx="2051420" cy="712956"/>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28">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8C3254"/>
    <w:rPr>
      <w:rFonts w:ascii="Times New Roman" w:cs="Times New Roman" w:eastAsia="Times New Roman" w:hAnsi="Times New Roman"/>
    </w:rPr>
  </w:style>
  <w:style w:type="paragraph" w:styleId="Heading1">
    <w:name w:val="heading 1"/>
    <w:basedOn w:val="Normal"/>
    <w:next w:val="Normal"/>
    <w:link w:val="Heading1Char"/>
    <w:uiPriority w:val="9"/>
    <w:qFormat w:val="1"/>
    <w:rsid w:val="000714C2"/>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paragraph" w:styleId="NormalWeb">
    <w:name w:val="Normal (Web)"/>
    <w:basedOn w:val="Normal"/>
    <w:uiPriority w:val="99"/>
    <w:unhideWhenUsed w:val="1"/>
    <w:rsid w:val="0010576B"/>
    <w:pPr>
      <w:spacing w:after="100" w:afterAutospacing="1" w:before="100" w:beforeAutospacing="1"/>
    </w:pPr>
  </w:style>
  <w:style w:type="character" w:styleId="Hyperlink">
    <w:name w:val="Hyperlink"/>
    <w:basedOn w:val="DefaultParagraphFont"/>
    <w:uiPriority w:val="99"/>
    <w:unhideWhenUsed w:val="1"/>
    <w:rsid w:val="00DA2716"/>
    <w:rPr>
      <w:color w:val="0563c1" w:themeColor="hyperlink"/>
      <w:u w:val="single"/>
    </w:rPr>
  </w:style>
  <w:style w:type="character" w:styleId="UnresolvedMention">
    <w:name w:val="Unresolved Mention"/>
    <w:basedOn w:val="DefaultParagraphFont"/>
    <w:uiPriority w:val="99"/>
    <w:semiHidden w:val="1"/>
    <w:unhideWhenUsed w:val="1"/>
    <w:rsid w:val="00DA2716"/>
    <w:rPr>
      <w:color w:val="605e5c"/>
      <w:shd w:color="auto" w:fill="e1dfdd" w:val="clear"/>
    </w:rPr>
  </w:style>
  <w:style w:type="paragraph" w:styleId="NoSpacing">
    <w:name w:val="No Spacing"/>
    <w:uiPriority w:val="1"/>
    <w:qFormat w:val="1"/>
    <w:rsid w:val="004D6550"/>
  </w:style>
  <w:style w:type="character" w:styleId="Strong">
    <w:name w:val="Strong"/>
    <w:basedOn w:val="DefaultParagraphFont"/>
    <w:uiPriority w:val="22"/>
    <w:qFormat w:val="1"/>
    <w:rsid w:val="00A52F4A"/>
    <w:rPr>
      <w:b w:val="1"/>
      <w:bCs w:val="1"/>
    </w:rPr>
  </w:style>
  <w:style w:type="character" w:styleId="apple-tab-span" w:customStyle="1">
    <w:name w:val="apple-tab-span"/>
    <w:basedOn w:val="DefaultParagraphFont"/>
    <w:rsid w:val="00817ADC"/>
  </w:style>
  <w:style w:type="paragraph" w:styleId="ListParagraph">
    <w:name w:val="List Paragraph"/>
    <w:basedOn w:val="Normal"/>
    <w:uiPriority w:val="34"/>
    <w:qFormat w:val="1"/>
    <w:rsid w:val="006A7F7E"/>
    <w:pPr>
      <w:ind w:left="720"/>
      <w:contextualSpacing w:val="1"/>
    </w:pPr>
  </w:style>
  <w:style w:type="character" w:styleId="FollowedHyperlink">
    <w:name w:val="FollowedHyperlink"/>
    <w:basedOn w:val="DefaultParagraphFont"/>
    <w:uiPriority w:val="99"/>
    <w:semiHidden w:val="1"/>
    <w:unhideWhenUsed w:val="1"/>
    <w:rsid w:val="007F6C43"/>
    <w:rPr>
      <w:color w:val="954f72"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stellarindustries.com/products/combine-head-trailers/bumper-pull-trailers/b53/" TargetMode="External"/><Relationship Id="rId10" Type="http://schemas.openxmlformats.org/officeDocument/2006/relationships/hyperlink" Target="https://www.stellarindustries.com/products/combine-head-trailers/bumper-pull-trailers/b53/" TargetMode="External"/><Relationship Id="rId13" Type="http://schemas.openxmlformats.org/officeDocument/2006/relationships/header" Target="header1.xml"/><Relationship Id="rId12" Type="http://schemas.openxmlformats.org/officeDocument/2006/relationships/hyperlink" Target="https://www.stellarindustries.com/products/combine-head-trailers/bumper-pull/b3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s/combine-head-trailers/bumper-pull-trailers/b53/" TargetMode="External"/><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hyperlink" Target="mailto:kelseyb@performancemarketing.com" TargetMode="External"/><Relationship Id="rId8" Type="http://schemas.openxmlformats.org/officeDocument/2006/relationships/hyperlink" Target="https://www.stellarindustries.com/product-category/combine-head-trailers/bumper-pul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er2yalWfmEQwnjbwaUCOBPi3PQ==">CgMxLjA4AHIhMVRhc2dOWHo4bFZueFRib1dnbER4Nk9MSGs3bmVRTWVN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2023-08-23T13:55:00Z</dcterms:created>
  <dc:creator>Kelsey Meyer</dc:creator>
</cp:coreProperties>
</file>